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B6F" w:rsidRPr="00F15B6F" w:rsidRDefault="00F15B6F" w:rsidP="00F15B6F">
      <w:pPr>
        <w:spacing w:after="0" w:line="240" w:lineRule="auto"/>
        <w:rPr>
          <w:rFonts w:ascii="Cambria" w:eastAsia="Times New Roman" w:hAnsi="Cambria" w:cs="Cambria"/>
          <w:bCs/>
          <w:sz w:val="18"/>
          <w:szCs w:val="18"/>
          <w:lang w:eastAsia="pl-PL"/>
        </w:rPr>
      </w:pPr>
      <w:r w:rsidRPr="00F15B6F">
        <w:rPr>
          <w:rFonts w:ascii="Cambria" w:eastAsia="Times New Roman" w:hAnsi="Cambria" w:cs="Cambria"/>
          <w:bCs/>
          <w:sz w:val="18"/>
          <w:szCs w:val="18"/>
          <w:lang w:eastAsia="pl-PL"/>
        </w:rPr>
        <w:t>Wypis z Regulaminu udzielania zamówień</w:t>
      </w:r>
    </w:p>
    <w:p w:rsidR="00F15B6F" w:rsidRPr="00F15B6F" w:rsidRDefault="00F15B6F" w:rsidP="00F15B6F">
      <w:pPr>
        <w:spacing w:after="0" w:line="240" w:lineRule="auto"/>
        <w:jc w:val="center"/>
        <w:rPr>
          <w:rFonts w:ascii="Cambria" w:eastAsia="Times New Roman" w:hAnsi="Cambria" w:cs="Cambria"/>
          <w:b/>
          <w:bCs/>
          <w:szCs w:val="24"/>
          <w:lang w:eastAsia="pl-PL"/>
        </w:rPr>
      </w:pPr>
      <w:r w:rsidRPr="00F15B6F">
        <w:rPr>
          <w:rFonts w:ascii="Cambria" w:eastAsia="Times New Roman" w:hAnsi="Cambria" w:cs="Cambria"/>
          <w:b/>
          <w:bCs/>
          <w:szCs w:val="24"/>
          <w:lang w:eastAsia="pl-PL"/>
        </w:rPr>
        <w:t>§ 52a</w:t>
      </w:r>
    </w:p>
    <w:p w:rsidR="00F15B6F" w:rsidRPr="00F15B6F" w:rsidRDefault="00F15B6F" w:rsidP="00F15B6F">
      <w:pPr>
        <w:spacing w:after="0" w:line="240" w:lineRule="auto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Z postępowania o udzielenie zamówienia wyklucza się Wykonawcę:</w:t>
      </w:r>
    </w:p>
    <w:p w:rsidR="00F15B6F" w:rsidRPr="00F15B6F" w:rsidRDefault="00F15B6F" w:rsidP="00F15B6F">
      <w:pPr>
        <w:numPr>
          <w:ilvl w:val="2"/>
          <w:numId w:val="2"/>
        </w:numPr>
        <w:spacing w:after="0" w:line="240" w:lineRule="auto"/>
        <w:ind w:left="426" w:hanging="45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0" w:name="mip51080593"/>
      <w:bookmarkEnd w:id="0"/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będącego osobą fizyczną, którego prawomocnie skazano za przestępstwo:</w:t>
      </w:r>
    </w:p>
    <w:p w:rsidR="00F15B6F" w:rsidRPr="00F15B6F" w:rsidRDefault="00F15B6F" w:rsidP="00F15B6F">
      <w:pPr>
        <w:numPr>
          <w:ilvl w:val="4"/>
          <w:numId w:val="1"/>
        </w:numPr>
        <w:spacing w:after="0" w:line="240" w:lineRule="auto"/>
        <w:ind w:left="709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udziału w zorganizowanej grupie przestępczej albo związku mającym na celu popełnienie przestępstwa lub przestępstwa skarbowego, o którym mowa w art. 258 Kodeksu karnego,</w:t>
      </w:r>
    </w:p>
    <w:p w:rsidR="00F15B6F" w:rsidRPr="00F15B6F" w:rsidRDefault="00F15B6F" w:rsidP="00F15B6F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handlu ludźmi, o którym mowa w art. 189a Kodeksu karnego,</w:t>
      </w:r>
    </w:p>
    <w:p w:rsidR="00F15B6F" w:rsidRPr="00F15B6F" w:rsidRDefault="00F15B6F" w:rsidP="00F15B6F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o którym mowa w art. 228-230a, art. 250a Kodeksu karnego lub w art. 46 lub art. 48 ustawy z dnia 25 czerwca 2010 r. o sporcie,</w:t>
      </w:r>
    </w:p>
    <w:p w:rsidR="00F15B6F" w:rsidRPr="00F15B6F" w:rsidRDefault="00F15B6F" w:rsidP="00F15B6F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F15B6F" w:rsidRPr="00F15B6F" w:rsidRDefault="00F15B6F" w:rsidP="00F15B6F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o charakterze terrorystycznym, o którym mowa w art. 115 § 20 Kodeksu karnego, lub mające na celu popełnienie tego przestępstwa,</w:t>
      </w:r>
    </w:p>
    <w:p w:rsidR="00F15B6F" w:rsidRPr="00F15B6F" w:rsidRDefault="00F15B6F" w:rsidP="00F15B6F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F15B6F" w:rsidRPr="00F15B6F" w:rsidRDefault="00F15B6F" w:rsidP="00F15B6F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F15B6F" w:rsidRPr="00F15B6F" w:rsidRDefault="00F15B6F" w:rsidP="00F15B6F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F15B6F" w:rsidRPr="00F15B6F" w:rsidRDefault="00F15B6F" w:rsidP="00F15B6F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1" w:name="mip51080594"/>
      <w:bookmarkEnd w:id="1"/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F15B6F" w:rsidRPr="00F15B6F" w:rsidRDefault="00F15B6F" w:rsidP="00F15B6F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2" w:name="mip51080595"/>
      <w:bookmarkEnd w:id="2"/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F15B6F" w:rsidRPr="00F15B6F" w:rsidRDefault="00F15B6F" w:rsidP="00F15B6F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3" w:name="mip51080596"/>
      <w:bookmarkEnd w:id="3"/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wobec którego prawomocnie orzeczono zakaz ubiegania się o zamówienia publiczne;</w:t>
      </w:r>
    </w:p>
    <w:p w:rsidR="00F15B6F" w:rsidRPr="00F15B6F" w:rsidRDefault="00F15B6F" w:rsidP="00F15B6F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bookmarkStart w:id="4" w:name="mip51080597"/>
      <w:bookmarkEnd w:id="4"/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F15B6F" w:rsidRPr="00F15B6F" w:rsidRDefault="00F15B6F" w:rsidP="00F15B6F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 w:rsidRPr="00F15B6F">
        <w:rPr>
          <w:rFonts w:ascii="Cambria" w:eastAsia="Times New Roman" w:hAnsi="Cambria" w:cs="Cambria"/>
          <w:b/>
          <w:bCs/>
          <w:sz w:val="16"/>
          <w:szCs w:val="16"/>
          <w:lang w:eastAsia="pl-PL"/>
        </w:rPr>
        <w:t>j</w:t>
      </w:r>
      <w:r w:rsidRPr="00F15B6F">
        <w:rPr>
          <w:rFonts w:ascii="Cambria" w:eastAsia="Times New Roman" w:hAnsi="Cambria" w:cs="Cambria"/>
          <w:sz w:val="16"/>
          <w:szCs w:val="16"/>
          <w:lang w:eastAsia="pl-PL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F15B6F" w:rsidRPr="00F15B6F" w:rsidRDefault="00F15B6F" w:rsidP="00F15B6F">
      <w:pPr>
        <w:spacing w:after="0" w:line="240" w:lineRule="auto"/>
        <w:ind w:left="426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</w:p>
    <w:p w:rsidR="00F15B6F" w:rsidRPr="00F15B6F" w:rsidRDefault="00F15B6F" w:rsidP="00F15B6F">
      <w:pPr>
        <w:spacing w:after="0" w:line="240" w:lineRule="auto"/>
        <w:ind w:left="426"/>
        <w:jc w:val="both"/>
        <w:rPr>
          <w:rFonts w:ascii="Cambria" w:eastAsia="Times New Roman" w:hAnsi="Cambria" w:cs="Cambria"/>
          <w:b/>
          <w:bCs/>
          <w:sz w:val="16"/>
          <w:szCs w:val="16"/>
          <w:lang w:eastAsia="pl-PL"/>
        </w:rPr>
      </w:pPr>
      <w:r>
        <w:rPr>
          <w:rFonts w:ascii="Cambria" w:eastAsia="Times New Roman" w:hAnsi="Cambria" w:cs="Cambria"/>
          <w:sz w:val="16"/>
          <w:szCs w:val="16"/>
          <w:lang w:eastAsia="pl-PL"/>
        </w:rPr>
        <w:t>----------------------------------------</w:t>
      </w:r>
    </w:p>
    <w:p w:rsidR="000B71EB" w:rsidRPr="000B71EB" w:rsidRDefault="000B71EB" w:rsidP="000B71EB">
      <w:pPr>
        <w:spacing w:after="0" w:line="240" w:lineRule="auto"/>
        <w:jc w:val="both"/>
        <w:rPr>
          <w:rFonts w:ascii="Arial" w:eastAsia="Times New Roman" w:hAnsi="Arial" w:cs="Arial"/>
          <w:iCs/>
          <w:color w:val="000000"/>
          <w:sz w:val="15"/>
          <w:szCs w:val="15"/>
          <w:lang w:eastAsia="pl-PL"/>
        </w:rPr>
      </w:pPr>
      <w:r w:rsidRPr="000B71EB">
        <w:rPr>
          <w:rFonts w:ascii="Arial" w:eastAsia="Times New Roman" w:hAnsi="Arial" w:cs="Arial"/>
          <w:bCs/>
          <w:sz w:val="15"/>
          <w:szCs w:val="15"/>
          <w:lang w:eastAsia="pl-PL"/>
        </w:rPr>
        <w:t xml:space="preserve">Wypis z Ustawy </w:t>
      </w:r>
      <w:r w:rsidRPr="000B71EB">
        <w:rPr>
          <w:rFonts w:ascii="Arial" w:eastAsia="Times New Roman" w:hAnsi="Arial" w:cs="Arial"/>
          <w:color w:val="000000"/>
          <w:sz w:val="15"/>
          <w:szCs w:val="15"/>
          <w:lang w:eastAsia="pl-PL"/>
        </w:rPr>
        <w:t>z dnia 13 kwietnia 2022 r.</w:t>
      </w:r>
      <w:r w:rsidRPr="000B71EB">
        <w:rPr>
          <w:rFonts w:ascii="Arial" w:eastAsia="Times New Roman" w:hAnsi="Arial" w:cs="Arial"/>
          <w:i/>
          <w:iCs/>
          <w:color w:val="000000"/>
          <w:sz w:val="15"/>
          <w:szCs w:val="15"/>
          <w:lang w:eastAsia="pl-PL"/>
        </w:rPr>
        <w:t xml:space="preserve"> </w:t>
      </w:r>
      <w:r w:rsidRPr="000B71EB">
        <w:rPr>
          <w:rFonts w:ascii="Arial" w:eastAsia="Times New Roman" w:hAnsi="Arial" w:cs="Arial"/>
          <w:iCs/>
          <w:color w:val="000000"/>
          <w:sz w:val="15"/>
          <w:szCs w:val="15"/>
          <w:lang w:eastAsia="pl-PL"/>
        </w:rPr>
        <w:t>o szczególnych rozwiązaniach w zakresie przeciwdziałania wspieraniu agresji na Ukrainę oraz służących ochronie bezpieczeństwa narod</w:t>
      </w:r>
      <w:bookmarkStart w:id="6" w:name="_GoBack"/>
      <w:bookmarkEnd w:id="6"/>
      <w:r w:rsidRPr="000B71EB">
        <w:rPr>
          <w:rFonts w:ascii="Arial" w:eastAsia="Times New Roman" w:hAnsi="Arial" w:cs="Arial"/>
          <w:iCs/>
          <w:color w:val="000000"/>
          <w:sz w:val="15"/>
          <w:szCs w:val="15"/>
          <w:lang w:eastAsia="pl-PL"/>
        </w:rPr>
        <w:t>owego</w:t>
      </w:r>
      <w:r w:rsidRPr="000B71EB">
        <w:rPr>
          <w:rFonts w:ascii="Arial" w:eastAsia="Times New Roman" w:hAnsi="Arial" w:cs="Arial"/>
          <w:i/>
          <w:iCs/>
          <w:color w:val="000000"/>
          <w:sz w:val="15"/>
          <w:szCs w:val="15"/>
          <w:lang w:eastAsia="pl-PL"/>
        </w:rPr>
        <w:t xml:space="preserve"> </w:t>
      </w:r>
      <w:r w:rsidRPr="000B71EB">
        <w:rPr>
          <w:rFonts w:ascii="Arial" w:eastAsia="Times New Roman" w:hAnsi="Arial" w:cs="Arial"/>
          <w:iCs/>
          <w:color w:val="000000"/>
          <w:sz w:val="15"/>
          <w:szCs w:val="15"/>
          <w:lang w:eastAsia="pl-PL"/>
        </w:rPr>
        <w:t>(tekst jednolity Dz. U. z 2024r. poz. 507)</w:t>
      </w:r>
    </w:p>
    <w:p w:rsidR="000B71EB" w:rsidRPr="000B71EB" w:rsidRDefault="000B71EB" w:rsidP="000B71EB">
      <w:pPr>
        <w:spacing w:after="0" w:line="240" w:lineRule="auto"/>
        <w:ind w:left="426"/>
        <w:jc w:val="both"/>
        <w:rPr>
          <w:rFonts w:ascii="Arial" w:eastAsia="Times New Roman" w:hAnsi="Arial" w:cs="Arial"/>
          <w:sz w:val="15"/>
          <w:szCs w:val="15"/>
          <w:lang w:eastAsia="pl-PL"/>
        </w:rPr>
      </w:pPr>
    </w:p>
    <w:p w:rsidR="000B71EB" w:rsidRPr="000B71EB" w:rsidRDefault="000B71EB" w:rsidP="000B71EB">
      <w:pPr>
        <w:spacing w:after="60" w:line="240" w:lineRule="auto"/>
        <w:ind w:left="142" w:hanging="142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0B71EB">
        <w:rPr>
          <w:rFonts w:ascii="Arial" w:eastAsia="Times New Roman" w:hAnsi="Arial" w:cs="Arial"/>
          <w:sz w:val="15"/>
          <w:szCs w:val="15"/>
          <w:vertAlign w:val="superscript"/>
          <w:lang w:eastAsia="pl-PL"/>
        </w:rPr>
        <w:t>1)</w:t>
      </w:r>
      <w:r w:rsidRPr="000B71EB">
        <w:rPr>
          <w:rFonts w:ascii="Arial" w:eastAsia="Times New Roman" w:hAnsi="Arial" w:cs="Arial"/>
          <w:sz w:val="15"/>
          <w:szCs w:val="15"/>
          <w:lang w:eastAsia="pl-PL"/>
        </w:rPr>
        <w:t xml:space="preserve"> </w:t>
      </w:r>
      <w:r w:rsidRPr="000B71EB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Zgodnie z treścią art. 7 ust. 1 ustawy z dnia 13 kwietnia 2022 r. </w:t>
      </w:r>
      <w:r w:rsidRPr="000B71EB">
        <w:rPr>
          <w:rFonts w:ascii="Arial" w:eastAsia="Times New Roman" w:hAnsi="Arial" w:cs="Arial"/>
          <w:iCs/>
          <w:color w:val="222222"/>
          <w:sz w:val="15"/>
          <w:szCs w:val="15"/>
          <w:lang w:eastAsia="pl-PL"/>
        </w:rPr>
        <w:t>o szczególnych rozwiązaniach w zakresie przeciwdziałania wspieraniu agresji na Ukrainę oraz służących ochronie bezpieczeństwa narodowego</w:t>
      </w:r>
      <w:r w:rsidRPr="000B71EB">
        <w:rPr>
          <w:rFonts w:ascii="Arial" w:eastAsia="Times New Roman" w:hAnsi="Arial" w:cs="Arial"/>
          <w:i/>
          <w:iCs/>
          <w:color w:val="222222"/>
          <w:sz w:val="15"/>
          <w:szCs w:val="15"/>
          <w:lang w:eastAsia="pl-PL"/>
        </w:rPr>
        <w:t xml:space="preserve">,  </w:t>
      </w:r>
      <w:r w:rsidRPr="000B71EB">
        <w:rPr>
          <w:rFonts w:ascii="Arial" w:eastAsia="Times New Roman" w:hAnsi="Arial" w:cs="Arial"/>
          <w:iCs/>
          <w:color w:val="222222"/>
          <w:sz w:val="15"/>
          <w:szCs w:val="15"/>
          <w:lang w:eastAsia="pl-PL"/>
        </w:rPr>
        <w:t xml:space="preserve">zwanej dalej „ustawą”, </w:t>
      </w:r>
      <w:r w:rsidRPr="000B71EB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z postępowania o udzielenie zamówienia publicznego lub konkursu prowadzonego na podstawie ustawy Pzp wyklucza się:</w:t>
      </w:r>
    </w:p>
    <w:p w:rsidR="000B71EB" w:rsidRPr="000B71EB" w:rsidRDefault="000B71EB" w:rsidP="000B71EB">
      <w:pPr>
        <w:spacing w:after="0" w:line="240" w:lineRule="auto"/>
        <w:ind w:left="142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0B71EB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B71EB" w:rsidRPr="000B71EB" w:rsidRDefault="000B71EB" w:rsidP="000B71EB">
      <w:pPr>
        <w:spacing w:after="60" w:line="240" w:lineRule="auto"/>
        <w:ind w:left="142"/>
        <w:jc w:val="both"/>
        <w:rPr>
          <w:rFonts w:ascii="Arial" w:eastAsia="Times New Roman" w:hAnsi="Arial" w:cs="Arial"/>
          <w:color w:val="222222"/>
          <w:sz w:val="15"/>
          <w:szCs w:val="15"/>
          <w:lang w:eastAsia="pl-PL"/>
        </w:rPr>
      </w:pPr>
      <w:r w:rsidRPr="000B71EB">
        <w:rPr>
          <w:rFonts w:ascii="Arial" w:eastAsia="Times New Roman" w:hAnsi="Arial" w:cs="Arial"/>
          <w:color w:val="222222"/>
          <w:sz w:val="15"/>
          <w:szCs w:val="15"/>
          <w:lang w:eastAsia="pl-PL"/>
        </w:rPr>
        <w:t xml:space="preserve">2) 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5"/>
          <w:szCs w:val="15"/>
          <w:lang w:eastAsia="pl-PL"/>
        </w:rPr>
        <w:br/>
      </w:r>
      <w:r w:rsidRPr="000B71EB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o przeciwdziałaniu praniu pieniędzy oraz finansowaniu terroryzmu ((Dz. U. z 2023 r. poz. 1124, 1285, 1723 i 1843))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15B6F" w:rsidRPr="000B71EB" w:rsidRDefault="000B71EB" w:rsidP="000B71EB">
      <w:pPr>
        <w:ind w:left="142"/>
        <w:jc w:val="both"/>
        <w:rPr>
          <w:rFonts w:ascii="Arial" w:hAnsi="Arial" w:cs="Arial"/>
          <w:sz w:val="15"/>
          <w:szCs w:val="15"/>
        </w:rPr>
      </w:pPr>
      <w:r w:rsidRPr="000B71EB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F1FD3" w:rsidRDefault="00AF1FD3"/>
    <w:sectPr w:rsidR="00AF1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A4"/>
    <w:rsid w:val="000B71EB"/>
    <w:rsid w:val="004641A4"/>
    <w:rsid w:val="00683DBD"/>
    <w:rsid w:val="00AF1FD3"/>
    <w:rsid w:val="00F1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793</Words>
  <Characters>4763</Characters>
  <Application>Microsoft Office Word</Application>
  <DocSecurity>0</DocSecurity>
  <Lines>39</Lines>
  <Paragraphs>11</Paragraphs>
  <ScaleCrop>false</ScaleCrop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Wójcik</dc:creator>
  <cp:keywords/>
  <dc:description/>
  <cp:lastModifiedBy>Marzena Wójcik</cp:lastModifiedBy>
  <cp:revision>4</cp:revision>
  <dcterms:created xsi:type="dcterms:W3CDTF">2025-06-11T10:59:00Z</dcterms:created>
  <dcterms:modified xsi:type="dcterms:W3CDTF">2026-01-26T09:42:00Z</dcterms:modified>
</cp:coreProperties>
</file>